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23df455dcd4acc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35214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OPĆINA ANTUNOVAC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22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2.439.646,33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2.522.811,52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103,4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1.841.436,02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1.940.430,22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105,4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598.210,31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582.381,30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97,4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27.840,17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16.927,47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60,8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217.563,72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1.324.815,02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608,9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189.723,55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1.307.887,55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689,4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28.507,44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42.761,16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150,0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PRIMITAKA OD FINANCIJSKE IMOVINE I ZADUŽIVANJA (šifre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28.507,44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42.761,16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150,0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768.267,41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Prihodi poslovanja veći su za 3,4% nego u istom razdoblju prethodne godine. Manjak prihoda i primitaka Y005, rezultat je prenesenog viška primitaka od financijske imovine za podignuti kredit, te manjka od nefinancijske imovine i viškova prihoda poslovanja tekuće godine. Navedeno se manifestira jer Općina kapitalne projekte financira iz prihoda poslovanja pošto su prihodi od nefinancijske imovine relativno zanemarivi.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proračunu i izvanproračunskim korisnicima iz drugih proračuna (šifre 6331+6332)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482.770,41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268.079,17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55,5</w:t>
            </w:r>
          </w:p>
        </w:tc>
      </w:tr>
    </w:tbl>
    <w:p>
      <w:pPr>
        <w:spacing w:before="0" w:after="0"/>
      </w:pPr>
    </w:p>
    <w:p>
      <w:r>
        <w:t xml:space="preserve">Rezultat različite dinamike provedbe projekata i povlačenja sredstava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za koncesije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442,93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41.789,27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9434,7</w:t>
            </w:r>
          </w:p>
        </w:tc>
      </w:tr>
    </w:tbl>
    <w:p>
      <w:pPr>
        <w:spacing w:before="0" w:after="0"/>
      </w:pPr>
    </w:p>
    <w:p>
      <w:r>
        <w:t xml:space="preserve">Naknade za koncesiju dospijevaju 31.12. pa se prihod obično bilježi koncem godine. Dogodila se iznimka zbog aneksa ugovora.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3.250,00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Navedeni iznos odnosi se na jedan račun za koji usluga nije do kraja izvršena. U postupku rješavanja 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EU izvještaj</w:t>
      </w:r>
    </w:p>
    <w:p>
      <w:r>
        <w:t xml:space="preserve">U prethodnom razdoblju nije se podnosio EU izvještaj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c53bd1508084427" /></Relationships>
</file>