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4e531425e4d3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35214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ANTUNOVAC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1.629.502,81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1.599.631,67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1.277.729,51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1.319.966,68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351.773,30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279.664,99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79,5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18.516,21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16.927,47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206.749,13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628.103,30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188.232,92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611.175,83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324,7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28.507,44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28.507,44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28.507,44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28.507,44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360.018,28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poslovanja manji su za 1,8% nego u istom razdoblju prethodne godine. Višak prihoda i primitaka Xoo6, rezultat je prenesenog viška primitaka od financijske imovine za podignuti kredit, te manjka od nefinancijske imovine i viškova prihoda poslovanja tekuće godine. Navedeno se manifestira jer Općina kapitalne projekte financira iz prihoda poslovanja pošto su prihodi od nefinancijske imovine relativno zanemarivi.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225.710,00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22,6</w:t>
            </w:r>
          </w:p>
        </w:tc>
      </w:tr>
    </w:tbl>
    <w:p>
      <w:pPr>
        <w:spacing w:before="0" w:after="0"/>
      </w:pPr>
    </w:p>
    <w:p>
      <w:r>
        <w:t xml:space="preserve">Rezultat različite dinamike provedbe projekata.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28.507,44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28.507,44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Isti iznos jer se kredit vraća u jednakim ratama.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Navedeni iznos odnosi se na jedan račun koji se vodi kao sporna obveza. U postupku rješavanja 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prethodnom razdoblju nije se podnosio EU izvještaj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9260c4be87468a" /></Relationships>
</file>