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8525778e82ec4505"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35214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ANTUNOVAC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III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958.735,76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875.426,36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531.923,18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651.446,84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426.812,58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223.979,52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52,5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615,03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7.065,53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1148,8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43.641,56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267.982,10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614,1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43.026,53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260.916,57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606,4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14.253,72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14.253,72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14.253,72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14.253,72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51.190,77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Manjak prihoda i primitaka Y005 u iznosu 51.190,77eura sastoji se od Viška prihoda poslovanja X001 u iznosu 223.979,52 eura nastao prvenstveno zbog dobivenih pomoći iz RH proračuna. manjak od nefinancijske imovine Y002 očituje se u ulaganju u dug. imovinu dok prihoda od prodaje nef. imovine nema (osim prod. poljoprivrednog zemljišta u vlasništvu RH). Na kraju proračunske godine dio navedenih viškova i manjkova se sučeljava obveznom korekcijom rezultata.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958.735,76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875.426,36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91,3</w:t>
            </w:r>
          </w:p>
        </w:tc>
      </w:tr>
    </w:tbl>
    <w:p>
      <w:pPr>
        <w:spacing w:before="0" w:after="0"/>
      </w:pPr>
    </w:p>
    <w:p>
      <w:r>
        <w:t xml:space="preserve">Prihodi poslovanja manji su za 9,7% nego u istom razdoblju prethodne godine bez značajnijih odstupanja.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225.710,00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w:t>
            </w:r>
          </w:p>
        </w:tc>
      </w:tr>
    </w:tbl>
    <w:p>
      <w:pPr>
        <w:spacing w:before="0" w:after="0"/>
      </w:pPr>
    </w:p>
    <w:p>
      <w:r>
        <w:t xml:space="preserve">Razlika se očituje u različitoj dinamici provedbe projekata sufinanciranih iz RH proračuna.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koncesije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41.263,38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Naknada za koncesiju inače dospijeva s koncem godine, dok u 2026. godini bilježimo prihod u prvom kvartalu zbog provedene revalorizacije.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615,03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7.065,53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1148,8</w:t>
            </w:r>
          </w:p>
        </w:tc>
      </w:tr>
    </w:tbl>
    <w:p>
      <w:pPr>
        <w:spacing w:before="0" w:after="0"/>
      </w:pPr>
    </w:p>
    <w:p>
      <w:r>
        <w:t xml:space="preserve">Iznosom manja ali postotkom velika razlika rezultat je različite dinamike uplate kupaca za prodaju poljoprivrednog zemljišta u vlasništvu RH.</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41.132,63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251.098,72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610,5</w:t>
            </w:r>
          </w:p>
        </w:tc>
      </w:tr>
    </w:tbl>
    <w:p>
      <w:pPr>
        <w:spacing w:before="0" w:after="0"/>
      </w:pPr>
    </w:p>
    <w:p>
      <w:r>
        <w:t xml:space="preserve">Razlika se očituje u različitoj dinamici provedbe kapitalnih projekata tokom godine.</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(sve nedospjele) na kraju izvještajnog razdoblja (V009) iznosi 585.166,91 eura od čega se većina odnosi na obvezu za povrat kredita za izgradnju Inovacijskog centra (470.372,91 eura), za isplatu plaće za ožujak, te nedospjele obveze prema dobavljačima.</w:t>
      </w:r>
    </w:p>
    <w:p/>
    <w:p>
      <w:pPr>
        <w:jc w:val="center"/>
        <w:pStyle w:val="Normal"/>
        <w:spacing w:line="240" w:lineRule="auto"/>
        <w:keepNext/>
      </w:pPr>
      <w:r>
        <w:rPr>
          <w:sz w:val="28"/>
          <w:rFonts w:ascii="Times New Roman" w:hAnsi="Times New Roman"/>
        </w:rPr>
        <w:t xml:space="preserve">Bilješka 8.</w:t>
      </w:r>
    </w:p>
    <w:p>
      <w:pPr>
        <w:jc w:val="both"/>
        <w:pStyle w:val="Normal"/>
        <w:spacing w:line="240" w:lineRule="auto"/>
      </w:pPr>
      <w:r>
        <w:rPr>
          <w:b/>
          <w:sz w:val="24"/>
          <w:rFonts w:ascii="Times New Roman" w:hAnsi="Times New Roman"/>
        </w:rPr>
        <w:t xml:space="preserve">EU izvještaj</w:t>
      </w:r>
    </w:p>
    <w:p>
      <w:r>
        <w:t xml:space="preserve">U prethodnoj godini za promatrano razdoblje izvještaj se nije popunjavao</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0e092cde042d4554" /></Relationships>
</file>