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2341e551b54dcd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35214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ANTUNOVAC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3.330.412,29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3.508.986,49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2.178.638,05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2.545.556,45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1.151.774,24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963.430,04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83,6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133.229,59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50.431,82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691.348,90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519.962,22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558.119,31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469.530,40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84,1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486.977,07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57.014,88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486.977,07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57.014,88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106.677,86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436.884,76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409,5</w:t>
            </w:r>
          </w:p>
        </w:tc>
      </w:tr>
    </w:tbl>
    <w:p>
      <w:pPr>
        <w:spacing w:before="0" w:after="0"/>
      </w:pPr>
    </w:p>
    <w:p>
      <w:r>
        <w:t xml:space="preserve">Višak prihoda i primitaka X005 u iznosu 671.685,47 eura sastoji se od Viška prihoda poslovanja X001 u iznosu 963.430,04 eura nastao prvenstveno zbog dobivenih pomoći za projekte tj. rashode koji su nastali u prethodnom razdoblju i jer se trenutni kapitalni projekti financiraju iz prihoda poslovanja pošto su prihodi od prodaje nefinancijske imovine relativno zanemarivi u usporedbi s rashodima za nabavu nefinancijske imovine. Na kraju proračunske godine dio navedenih viškova i manjkova se sučeljava obveznom korekcijom rezultata.</w:t>
      </w:r>
    </w:p>
    <w:p>
      <w:r>
        <w:t xml:space="preserve">Manjak prihoda od nefinancijske imvine Y002 u iznosu od 469.530,40, te od manjka prihoda od financijske imovine i zaduživanja Y003 57.014,88, preneseni višak iz prethodnog razdoblja u iznosu od 234.800,71.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3.330.412,29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3.508.986,49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105,4</w:t>
            </w:r>
          </w:p>
        </w:tc>
      </w:tr>
    </w:tbl>
    <w:p>
      <w:pPr>
        <w:spacing w:before="0" w:after="0"/>
      </w:pPr>
    </w:p>
    <w:p>
      <w:r>
        <w:t xml:space="preserve">Prihodi poslovanja (6) veći su za 5,4% nego u istom razdoblju prethodne godine. Razlika se najviše očituje u različitoj dinamici provedbe projekata. Razlike bilježimo na šiframa 61,  i 65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209.253,03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228.977,71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109,4</w:t>
            </w:r>
          </w:p>
        </w:tc>
      </w:tr>
    </w:tbl>
    <w:p>
      <w:pPr>
        <w:spacing w:before="0" w:after="0"/>
      </w:pPr>
    </w:p>
    <w:p>
      <w:r>
        <w:t xml:space="preserve">Na tekućim pomoćima u prethodnoj godini se knjižila pomoć za fiskalno izravnanje, dok se u 2025. godini ta pomoć iskazuje na 6353, ali u obje godine je sličan zaprimljen iznos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od izvanproračunskih korisnika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26.284,86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26.515,87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100,9</w:t>
            </w:r>
          </w:p>
        </w:tc>
      </w:tr>
    </w:tbl>
    <w:p>
      <w:pPr>
        <w:spacing w:before="0" w:after="0"/>
      </w:pPr>
    </w:p>
    <w:p>
      <w:r>
        <w:t xml:space="preserve">Navedeni iznos u 2025. godini odnosi se na primljene pomoći od UPRAVA ZA CESTE- sufninanciranje pješačkog semafora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fiskalnog izravnanja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605.839,61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657.719,44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108,6</w:t>
            </w:r>
          </w:p>
        </w:tc>
      </w:tr>
    </w:tbl>
    <w:p>
      <w:pPr>
        <w:spacing w:before="0" w:after="0"/>
      </w:pPr>
    </w:p>
    <w:p>
      <w:r>
        <w:t xml:space="preserve">Na Pomoći fiskalnog izravnanja povećanje je 8,6% i rezultat je novootvorenog odjeljka 6353 na koji se događaji bilježe od 01. siječnja 2025. Pomoći fiskalnog izravnanja iznosom su bile slične i u prethodnoj godini, ali su iskazane na kontu 6331. U ovom izvještajnom razdoblju upisan iznos za prethodnu godinu na 6353.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2.178.638,05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2.545.556,45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116,8</w:t>
            </w:r>
          </w:p>
        </w:tc>
      </w:tr>
    </w:tbl>
    <w:p>
      <w:pPr>
        <w:spacing w:before="0" w:after="0"/>
      </w:pPr>
    </w:p>
    <w:p>
      <w:r>
        <w:t xml:space="preserve">Na rashodima poslovanja (3) bilježimo povećanje 16,8%. Značajnija odstupanja bilježimo na 323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551.627,85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822.870,22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149,2</w:t>
            </w:r>
          </w:p>
        </w:tc>
      </w:tr>
    </w:tbl>
    <w:p>
      <w:pPr>
        <w:spacing w:before="0" w:after="0"/>
      </w:pPr>
    </w:p>
    <w:p>
      <w:r>
        <w:t xml:space="preserve">Bilježimo povećanje 49,2% na rashodima za zaposlene prvenstveno jer Projekt Zaželi nije trajao u cijelom promatranom razdoblju prethodne godine i jer su u tekućoj godini povećani iznosi minimalne plaće na koju su zaposlenice u sklopu Projekta prijavljene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133.229,59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50.431,82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37,9</w:t>
            </w:r>
          </w:p>
        </w:tc>
      </w:tr>
    </w:tbl>
    <w:p>
      <w:pPr>
        <w:spacing w:before="0" w:after="0"/>
      </w:pPr>
    </w:p>
    <w:p>
      <w:r>
        <w:t xml:space="preserve">Bilježimo smanjenje  jer je dužnik za prodaju poljop. zemljišta podmirio svoje dugovanje  u ukupnom iznosu prošle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486.977,07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57.014,88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11,7</w:t>
            </w:r>
          </w:p>
        </w:tc>
      </w:tr>
    </w:tbl>
    <w:p>
      <w:pPr>
        <w:spacing w:before="0" w:after="0"/>
      </w:pPr>
    </w:p>
    <w:p>
      <w:r>
        <w:t xml:space="preserve">Otplata kredita u PBZ – redovna otplata u ratama za Sportsku dvoranu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16.029.984,15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16.659.812,94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103,9</w:t>
            </w:r>
          </w:p>
        </w:tc>
      </w:tr>
    </w:tbl>
    <w:p>
      <w:pPr>
        <w:spacing w:before="0" w:after="0"/>
      </w:pPr>
    </w:p>
    <w:p>
      <w:r>
        <w:t xml:space="preserve">Vrijednost aktive - ukupne imovine Općine (B001) na dan 31. prosinca 2025. godine iznosi 16.659.812,94 i u odnosu na stanje imovine 1. siječnja 2025. godine, što je  povećanje imovine za 3,9%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Građevinski objekti u pripremi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128.115,79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339.011,78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264,6</w:t>
            </w:r>
          </w:p>
        </w:tc>
      </w:tr>
    </w:tbl>
    <w:p>
      <w:pPr>
        <w:spacing w:before="0" w:after="0"/>
      </w:pPr>
    </w:p>
    <w:p>
      <w:r>
        <w:t xml:space="preserve">Promjene na bilančnoj poziciji "Građevinski objekt u pripremi" (šifra 051) rezultat je ulaganja u kapitalne projekte koji su u tijeku tj. nisu završeni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instrumenti - dionice i udjeli u glavnici (šifre 15X1+15X2-159)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1.764.882,78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1.764.874,46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100,0</w:t>
            </w:r>
          </w:p>
        </w:tc>
      </w:tr>
    </w:tbl>
    <w:p>
      <w:pPr>
        <w:spacing w:before="0" w:after="0"/>
      </w:pPr>
    </w:p>
    <w:p>
      <w:r>
        <w:t xml:space="preserve">Promjena u vlasničkim udjelima poduzeća u vlasništvu Općine Antunovac  odnosi se na smanjenje vrijednosti udjela – Tržnica doo i Športski objekti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od prodaje nefinancijske imovine (šifre 171 do 174 - 179)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328.002,64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233.242,61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71,1</w:t>
            </w:r>
          </w:p>
        </w:tc>
      </w:tr>
    </w:tbl>
    <w:p>
      <w:pPr>
        <w:spacing w:before="0" w:after="0"/>
      </w:pPr>
    </w:p>
    <w:p>
      <w:r>
        <w:t xml:space="preserve">"Potraživanja od prodaje nefinancijske imovine"  evidentirano  je  potraživanje za prodano zemljište u vlasništvu Republike Hrvatske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kredite i zajmove (šifre 26X1+26X2)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541.641,51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484.626,63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89,5</w:t>
            </w:r>
          </w:p>
        </w:tc>
      </w:tr>
    </w:tbl>
    <w:p>
      <w:pPr>
        <w:spacing w:before="0" w:after="0"/>
      </w:pPr>
    </w:p>
    <w:p>
      <w:r>
        <w:t xml:space="preserve">Na poziciji Obveze za kredite i zajmove – tuzemne (šifra 26X1) evidentirana je obveza za kredit  Privredne banke – Sportska dvorana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Instrumenti osiguranja plaćanja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3.679.072,68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608.906,56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16,6</w:t>
            </w:r>
          </w:p>
        </w:tc>
      </w:tr>
    </w:tbl>
    <w:p>
      <w:pPr>
        <w:spacing w:before="0" w:after="0"/>
      </w:pPr>
    </w:p>
    <w:p>
      <w:r>
        <w:t xml:space="preserve">Na ovom kontu vanbilančno su evidentirani izdani i primljeni instrumenti plaćanja.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po ugovorima o dodijeljenim bespovratnim sredstvima iz EU fondova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ovom i kontu 99691 evidentirana su vanbilančna potraživanja po ugovorima o dodjeli bespovratnih sredstava. Prikazan je iznos 0,00 jer drugačije kontrola unutar obrasca javlja grešku. Smatramo da je kontrola unutar obrasca pogrešna. Općina Antunovac vodi vanbilančnu evidenciju za navedena potraživanja.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344.790,20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obrascu P-VRIO iskazane su sve one promjene u vrijednosti i obujmu imovine i obveza koje nisu rezultat financijskih aktivnosti, odnosno transakcija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nefinancijske imovine (šifre P002 do P007)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344.781,88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Evidentiran ispravak vrijednosti imovine – smanjenje uslijed godišnje amortizacije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instrumenti - dionice i udjeli u glavnici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Promjena u udjelima – smanjenje vrijednosti udjela – Tržnica doo i Športski objekti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(šifraV007) iznosi 0,00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642.631,26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Nedospjele obveze odnose se na povrat kredita 484.626,63 eura, na isplatu plaće za prosinac i nedospjele obveze prema dobavljačima.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Budući da se prvi put sastavlja izvješće nema odnosa na prethodno razdoblje odnosno razlozi zbog kojih je došlo do značajnijih promjena u ostvarenju u odnosu na prethodno razdoblje.</w:t>
      </w:r>
    </w:p>
    <w:p>
      <w:r>
        <w:t xml:space="preserve"> </w:t>
      </w:r>
    </w:p>
    <w:p>
      <w:r>
        <w:t xml:space="preserve">PROJEKTI:</w:t>
      </w:r>
    </w:p>
    <w:p>
      <w:r>
        <w:t xml:space="preserve">Projekt ZAŽELI IV – započeo u 2024. – Europski socijalni fond</w:t>
      </w:r>
    </w:p>
    <w:p>
      <w:r>
        <w:t xml:space="preserve">Izrada prostornih planova nove generacije e- planovi – započeo 2025. – Nacionalni plan oporavka i otpornosti</w:t>
      </w:r>
    </w:p>
    <w:p>
      <w:r>
        <w:t xml:space="preserve">Energetska obnova zgrade javnog sektora  - 2025. Nacionalni plan oporavka i otpornosti</w:t>
      </w:r>
    </w:p>
    <w:p>
      <w:r>
        <w:t xml:space="preserve">Izgradnja dječjeg vrtića u Ivanovcu – 2025.</w:t>
      </w:r>
    </w:p>
    <w:p>
      <w:r>
        <w:t xml:space="preserve"> </w:t>
      </w:r>
    </w:p>
    <w:p>
      <w:r>
        <w:t xml:space="preserve">Sportsko rekreativni centar Antunovac – ugovor 2025. 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6391ed0ce14f5f" /></Relationships>
</file>