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jeloteksta3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Temeljem članka 40. Zakona o proračunu («Narodne novine» broj 144/21) i članka 45. Statuta Općine Antunovac («Službeni glasnik Općine Antunovac» broj 2/13, 3/18, 7/19, 3/20, 2/21 i 7/21), Općinski načelnik Općine Antunovac, dana 15. studenoga 2022. godine, donosi</w:t>
      </w:r>
    </w:p>
    <w:p>
      <w:pPr>
        <w:pStyle w:val="Tijeloteksta3"/>
        <w:rPr>
          <w:rFonts w:ascii="Times New Roman" w:hAnsi="Times New Roman"/>
          <w:szCs w:val="24"/>
        </w:rPr>
      </w:pPr>
    </w:p>
    <w:p>
      <w:pPr>
        <w:pStyle w:val="Tijeloteksta3"/>
        <w:rPr>
          <w:rFonts w:ascii="Times New Roman" w:hAnsi="Times New Roman"/>
          <w:szCs w:val="24"/>
        </w:rPr>
      </w:pPr>
    </w:p>
    <w:p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PRIJEDLOG PRORAČUNA OPĆINE ANTUNOVAC ZA 2023. GODINU </w:t>
      </w:r>
    </w:p>
    <w:p>
      <w:pPr>
        <w:pStyle w:val="Tijelotekst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 PROJEKCIJA ZA 2024. I 2025. GODINU</w:t>
      </w:r>
    </w:p>
    <w:p/>
    <w:p>
      <w:pPr>
        <w:pStyle w:val="Tijeloteksta2"/>
        <w:rPr>
          <w:rFonts w:ascii="Times New Roman" w:hAnsi="Times New Roman"/>
          <w:b w:val="0"/>
          <w:szCs w:val="24"/>
        </w:rPr>
      </w:pPr>
    </w:p>
    <w:p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>
      <w:pPr>
        <w:pStyle w:val="Tijeloteksta2"/>
        <w:rPr>
          <w:rFonts w:ascii="Times New Roman" w:hAnsi="Times New Roman"/>
          <w:b w:val="0"/>
          <w:szCs w:val="24"/>
        </w:rPr>
      </w:pPr>
    </w:p>
    <w:p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>
      <w:pPr>
        <w:pStyle w:val="Tijeloteksta2"/>
        <w:rPr>
          <w:rFonts w:ascii="Times New Roman" w:hAnsi="Times New Roman"/>
          <w:b w:val="0"/>
          <w:szCs w:val="24"/>
        </w:rPr>
      </w:pPr>
    </w:p>
    <w:p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Proračun Općine Antunovac za 2023. godinu i Projekcija za 2024. i 2025. godinu (u daljnjem tekstu: Proračun) sastoji se od:</w:t>
      </w:r>
    </w:p>
    <w:p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Sažetak Računa prihoda i rashoda i Sažetak finaciranja</w:t>
      </w:r>
    </w:p>
    <w:p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5447" w:type="dxa"/>
        <w:tblInd w:w="-572" w:type="dxa"/>
        <w:tblLook w:val="04A0" w:firstRow="1" w:lastRow="0" w:firstColumn="1" w:lastColumn="0" w:noHBand="0" w:noVBand="1"/>
      </w:tblPr>
      <w:tblGrid>
        <w:gridCol w:w="851"/>
        <w:gridCol w:w="1843"/>
        <w:gridCol w:w="1209"/>
        <w:gridCol w:w="1304"/>
        <w:gridCol w:w="1209"/>
        <w:gridCol w:w="1304"/>
        <w:gridCol w:w="1209"/>
        <w:gridCol w:w="1304"/>
        <w:gridCol w:w="1303"/>
        <w:gridCol w:w="1304"/>
        <w:gridCol w:w="1303"/>
        <w:gridCol w:w="1304"/>
      </w:tblGrid>
      <w:tr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(HRK)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(HRK)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(HRK)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1.853.694,11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13.966.656,66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4.518.029,05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34.041.090,35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5.105.190,00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38.465.054,13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3.314.190,00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24.970.764,63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3.098.430,00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23.345.120,91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76.867,67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579.159,18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206.914,87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206.920,00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1.559.038,75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181.700,00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1.369.018,66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158.780,00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1.196.327,92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1.450.558,98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10.929.240,27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2.118.006,51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15.958.120,00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2.007.540,00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15.125.810,44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606.224,50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4.567.598,56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3.556.307,64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26.795.000,00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4.087.820,00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30.799.679,90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1.678.880,00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12.649.521,46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1.177.510,00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8.871.949,18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-126.221,70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-951.022,99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-949.370,23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-7.153.029,65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-783.250,00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-5.901.397,46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-1.435.548,61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543.689,21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929.059,66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7.000.000,00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800.040,00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6.027.901,38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207.320,00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1.562.052,54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144.630,00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1.089.714,74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238.954,09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1.800.399,61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126.505,41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126.504,26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216.790,00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1.633.404,26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-222.163,94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-1.673.894,20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912.269,51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6.873.494,59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783.250,00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5.901.397,12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190.530,00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1.435.548,28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-72.160,00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-543.689,52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UKUPAN DONOS VIŠKA/MANJKA IZ PRETHODNIH GODINA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>
        <w:trPr>
          <w:trHeight w:val="5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37.100,67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279.535,06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-348.385,64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-2.624.917,19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-0,31</w:t>
            </w:r>
          </w:p>
        </w:tc>
      </w:tr>
    </w:tbl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tbl>
      <w:tblPr>
        <w:tblW w:w="15029" w:type="dxa"/>
        <w:tblInd w:w="-572" w:type="dxa"/>
        <w:tblLook w:val="04A0" w:firstRow="1" w:lastRow="0" w:firstColumn="1" w:lastColumn="0" w:noHBand="0" w:noVBand="1"/>
      </w:tblPr>
      <w:tblGrid>
        <w:gridCol w:w="4111"/>
        <w:gridCol w:w="1418"/>
        <w:gridCol w:w="1340"/>
        <w:gridCol w:w="1340"/>
        <w:gridCol w:w="1460"/>
        <w:gridCol w:w="1460"/>
        <w:gridCol w:w="940"/>
        <w:gridCol w:w="900"/>
        <w:gridCol w:w="1160"/>
        <w:gridCol w:w="900"/>
      </w:tblGrid>
      <w:tr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1.378.380,94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6.095.360,00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411,67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1.176.160,27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2.118.006,51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2.007.540,00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180,08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212.407,05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459.619,08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44.594,86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225,70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550.908,47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840.931,73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806.130,00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173.682,11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295.573,70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259.720,00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11.550,76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197.484,68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194.837,11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229.080,00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93.471,84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181.033,90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Izvor 7.1. Prihodi od prodaje nefinancijske imovine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74.255,76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132.988,25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3.607,31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9.423,32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150.608,56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230.930,00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153,34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114.773,40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230.930,00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268.763,68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7.850,78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71,86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77.410,56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102.329,29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102.340,00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76.630,92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95.693,15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95.700,00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177.794,92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206.001,72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65.032,99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65.846,44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15.263,12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982,95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742,64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97.503,70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115.734,29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202.220,67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3.556.307,64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4.087.820,00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1.678.880,00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1.177.510,00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1.758,63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70,14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188.498,64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3.537.062,83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4.068.580,00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1.659.640,00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1.158.270,00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1.876,44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69,79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37.567,27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17.519,42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17.520,00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4.200,33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33.844,30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33.850,00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277.523,39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591.760,00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45,63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83.523,16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2.211.029,26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2.223.310,00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766.310,00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672.310,00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2.647,20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87,73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72.068,49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638,82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51,09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925.077,97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796.060,00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203.340,00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140.650,00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69,17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45 Rashodi za dodatna ulaganja na nefinancijskoj imovini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13.722,03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13.722,03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p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tbl>
      <w:tblPr>
        <w:tblW w:w="14885" w:type="dxa"/>
        <w:tblInd w:w="-431" w:type="dxa"/>
        <w:tblLook w:val="04A0" w:firstRow="1" w:lastRow="0" w:firstColumn="1" w:lastColumn="0" w:noHBand="0" w:noVBand="1"/>
      </w:tblPr>
      <w:tblGrid>
        <w:gridCol w:w="5388"/>
        <w:gridCol w:w="1275"/>
        <w:gridCol w:w="1209"/>
        <w:gridCol w:w="1209"/>
        <w:gridCol w:w="1303"/>
        <w:gridCol w:w="1303"/>
        <w:gridCol w:w="878"/>
        <w:gridCol w:w="900"/>
        <w:gridCol w:w="859"/>
        <w:gridCol w:w="859"/>
      </w:tblGrid>
      <w:tr>
        <w:trPr>
          <w:trHeight w:val="25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-VRSTA PRIHODA / PRIMITAKA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1.434.364,67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5.674.314,15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6.095.360,00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3.686.420,00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3.185.050,00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60,48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86,40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458.637,26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813.192,65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454.080,43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807.883,74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177,92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43.697,65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42.885,40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42.890,00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7.846,57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5.707,08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144.869,12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259.074,92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103.789,23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 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112.814,40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112.820,00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1.206,51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37.162,40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2.044.780,00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432.098,58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1.374.344,66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2.044.780,00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1.555.300,00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1.126.390,00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76,06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72,42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08 Rekreacija, kultura i religija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96.366,72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2.324.507,27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385.740,00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2.412,15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20,87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84,19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85.609,39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2.634,94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18,31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132.332,61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602.561,54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526.930,00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455,34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583.980,35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508.350,00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405.810,00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504,96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096 Dodatne usluge u obrazovanju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</w:tbl>
    <w:p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p>
      <w:pPr>
        <w:pStyle w:val="Tijeloteksta2"/>
        <w:ind w:firstLine="720"/>
        <w:jc w:val="left"/>
        <w:rPr>
          <w:rFonts w:ascii="Times New Roman" w:hAnsi="Times New Roman"/>
          <w:bCs/>
          <w:szCs w:val="24"/>
        </w:rPr>
      </w:pPr>
    </w:p>
    <w:p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5135" w:type="dxa"/>
        <w:tblInd w:w="-431" w:type="dxa"/>
        <w:tblLook w:val="04A0" w:firstRow="1" w:lastRow="0" w:firstColumn="1" w:lastColumn="0" w:noHBand="0" w:noVBand="1"/>
      </w:tblPr>
      <w:tblGrid>
        <w:gridCol w:w="4537"/>
        <w:gridCol w:w="1418"/>
        <w:gridCol w:w="1160"/>
        <w:gridCol w:w="1160"/>
        <w:gridCol w:w="1460"/>
        <w:gridCol w:w="1460"/>
        <w:gridCol w:w="940"/>
        <w:gridCol w:w="900"/>
        <w:gridCol w:w="1160"/>
        <w:gridCol w:w="940"/>
      </w:tblGrid>
      <w:tr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-VRSTA PRIHODA / PRIMITAKA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69,76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929.059,66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207.320,00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144.630,00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5.533,36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69,76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1.291,19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>
      <w:pPr>
        <w:pStyle w:val="Tijeloteksta2"/>
        <w:jc w:val="left"/>
        <w:rPr>
          <w:rFonts w:ascii="Times New Roman" w:hAnsi="Times New Roman"/>
          <w:szCs w:val="24"/>
        </w:rPr>
      </w:pPr>
    </w:p>
    <w:p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>
      <w:pPr>
        <w:pStyle w:val="Tijeloteksta2"/>
        <w:rPr>
          <w:rFonts w:ascii="Times New Roman" w:hAnsi="Times New Roman"/>
          <w:b w:val="0"/>
          <w:szCs w:val="24"/>
        </w:rPr>
      </w:pPr>
    </w:p>
    <w:p>
      <w:pPr>
        <w:pStyle w:val="Tijeloteksta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slijedi:</w:t>
      </w:r>
    </w:p>
    <w:tbl>
      <w:tblPr>
        <w:tblW w:w="15217" w:type="dxa"/>
        <w:tblInd w:w="-431" w:type="dxa"/>
        <w:tblLook w:val="04A0" w:firstRow="1" w:lastRow="0" w:firstColumn="1" w:lastColumn="0" w:noHBand="0" w:noVBand="1"/>
      </w:tblPr>
      <w:tblGrid>
        <w:gridCol w:w="5529"/>
        <w:gridCol w:w="1209"/>
        <w:gridCol w:w="1209"/>
        <w:gridCol w:w="1209"/>
        <w:gridCol w:w="1303"/>
        <w:gridCol w:w="1303"/>
        <w:gridCol w:w="878"/>
        <w:gridCol w:w="859"/>
        <w:gridCol w:w="859"/>
        <w:gridCol w:w="859"/>
      </w:tblGrid>
      <w:tr>
        <w:trPr>
          <w:trHeight w:val="2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 - VRSTA PRIHODA / PRIMITAKA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01.01.2021. - 31.12.2021.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2.139.797,97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5.691.104,30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3.401.840,00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91,86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6.112.150,00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2.139.797,97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5.691.104,30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6.112.150,00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3.703.210,00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3.401.840,00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265,96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60,59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91,86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906.291,50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824.673,89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192.648,51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252.173,34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130.823,45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240.882,98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130.823,45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240.882,98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240.870,00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61.825,06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61.825,06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234.638,13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148.583,55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195.500,71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148.583,55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195.500,71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147.700,94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194.173,48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882,61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11.366,61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11.366,61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13.272,28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74.687,97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80.297,29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74.687,97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80.297,29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3.607,31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9.423,32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261,23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1.716,63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386,58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1.716,63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386,58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1.890,68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1.890,68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134,34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19.758,54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Lokalni izbori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10.704,16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9.272,11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9.272,11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8.870,62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401,49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1.432,05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1.432,05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7.034,31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5.839,80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5.839,80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1.194,51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1.194,51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A100011 ZAŽELI - pomoć u kući - OBŽ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34.583,50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34.583,50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A100012 ZAŽELI - FAZA II (LAG)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155.535,68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155.535,68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150.403,54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5.132,14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A100013 Otplata kredita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238.954,09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238.954,09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A100014 Mreža 2050 - SSMH Hrvatska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A100015 Semafor u Ivanovcu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12.433,64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12.433,64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205.720,34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185.413,76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185.413,76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20.306,58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20.306,58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16.324,90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3.427,94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2.631,74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2.631,74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796,20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796,20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197.367,65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352.246,32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1.022.730,00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533.250,00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302.250,00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56,68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Kapitalne dotacije javnom sektoru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86.800,72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60.256,16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60.256,16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25.217,33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2.530,61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2.530,61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38.181,76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49.771,06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49.780,00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8.505,44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18.394,88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38.489,62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18.394,88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38.489,62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209,24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K100016 Izgradnja na javnim površinama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3.251,78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3.251,78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Sanacija nerazvrstane ceste - Ul. kralja Zvonimira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912,75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37,79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33,33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144,41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33,33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K100020 Izgradnja dječjeg igrališta u DV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19.908,42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K100021 Pješačko-biciklistička staza Ul. Vilima Hefera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82.276,59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66.361,40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66.361,40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15.915,19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15.915,19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K100022 Sanacija Kolodvorske ulice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70.405,81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58.195,30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12.210,51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12.210,51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237.784,83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290.132,06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120.279,57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154.356,63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10.529,58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10.529,58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46.722,63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60.388,88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46.722,63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60.388,88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129,25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8.016,41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10.617,83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8.016,41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10.617,83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55.010,95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55.010,95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135,11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Odvodnja atmosferskih voda - otvoreni kanali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3.144,12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3.144,12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253,28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80.690,87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84.942,60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61.446,06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26.279,12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60.497,51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948,55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349,80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58.663,48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304,83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19.244,81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58.663,48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58.660,00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304,83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Javna rasvjeta - održavanje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29.929,37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31.322,58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8.862,93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161,73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8.862,93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161,73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21.066,44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21.066,44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3.740,90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6.237,97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3.123,00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3.123,00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617,90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257,76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617,90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1.592,68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257,76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66.993,37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155.285,69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120.520,00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231,79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66.419,04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85.606,22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66.419,04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85.606,22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128,89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65.436,09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81.624,54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115.880,00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141,97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982,95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405,07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507,01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6.544,39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6.544,39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507,01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985,75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985,75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1004 Javne potrebe u socijalnoj skrbi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114.902,13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141.747,96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141.760,00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114.122,49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135.111,82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135.120,00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82.043,35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101.931,12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82.043,35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101.931,12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101.940,00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124,24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59.947,68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79.766,41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79.770,00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133,06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22.095,67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20.837,48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94,31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13.544,35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13.544,35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14.599,51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18.534,79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18.534,79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851,18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779,64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340,47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3.981,68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155.033,21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2.255.756,85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2.126.740,00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389.450,00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339.910,00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1.455,02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87,28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42.603,98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42.603,98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102,80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A100006 Sportske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3.318,07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2.123.564,93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1.459.950,89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1.459.940,00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1.459.950,89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1.459.940,00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119.940,00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663.614,04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663.614,04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1.869,10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2.787,18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41.136,31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148,72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41.136,31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82.288,14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236,97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148,72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Skate park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69.423,82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69.423,82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1006 Javne potrebe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4.645,28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171,43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Kulturne manifestacije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18.581,19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325.170,00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152.631,23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115.649,37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114.773,40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875,97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151.304,00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151.300,00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172.539,65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39.816,84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132.722,81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132.722,81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28.130,58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277.390,66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986,08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72,73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107,40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16.683,24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15.926,74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95,47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Višenamjenska dvorana u područnoj školi Ivanovac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11.447,34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2.260,87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258.809,47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11.447,34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1.646,80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112,83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42.205,86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45,70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32.915,26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32.915,26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30,38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6.112,05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108,57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9.350,46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31.189,87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333,57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12.874,12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265,45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97,95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12.608,67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12.608,67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Održavanje reciklažnog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2.069,09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179,61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1.853,65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1.853,65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286,40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5.339,59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149,14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232,62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69,78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2.389,01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3.423,40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5.574,36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1.916,19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1.916,19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Opremanje reciklažnog dvorišta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88,13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1.505,99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38.565,18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608.534,06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410.630,00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1.577,94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67,48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24.843,15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35.171,53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17.177,24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22.562,87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17.177,24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22.562,87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131,35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360,36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184,15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360,36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7.481,76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11.945,05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159,66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7.481,76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70,96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8.626,98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8.206,42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8.206,42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553.454,11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355.550,00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64,24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270.754,53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55,40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270.754,53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55,40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82,99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190.550,00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82,99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28,25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28,25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204,54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5.515,61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5.515,61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7.963,37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Inventarizacija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32.102,33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44.160,97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44.212,63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A100001 Planski dokumenti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286,46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463,32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37.178,32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37.178,32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37.180,00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103,70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1.327,23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7.182,96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7.182,96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4.556,83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5.308,91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148,15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17.917,63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26.544,56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148,15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Program 1018 Razvoj turizma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77.875,75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108.434,53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Revitalizacija utvrde Kolođvar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7.565,20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K100010 Biciklistička staza - Urbana aglomeracija Osijek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71.870,50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51.926,44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6.768,86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51.926,44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6.768,86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13,04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19.944,06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3.185,35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19.944,06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3.185,35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15,97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11.281,44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K100014 Panoramske kamere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6.005,25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6.005,25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K100015 Biciklistička staza - Ul. Hr. Republike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Solarna elektrana - Poduzetnički inkubator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75.652,00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75.650,00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80.712,05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82.288,15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282.280,00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99,99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343,07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Centar za gos. razvoj, poduzetništvo i inovacije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43.798,52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43.798,52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35.835,16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222,22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Promidžba poduzetništva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1.078,37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1.078,37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246,15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99,83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poduzetničkog inkubatora i akceleratora Antunovac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  <w:tr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</w:tr>
    </w:tbl>
    <w:p>
      <w:pPr>
        <w:pStyle w:val="Tijeloteksta2"/>
        <w:jc w:val="left"/>
        <w:rPr>
          <w:rFonts w:ascii="Times New Roman" w:hAnsi="Times New Roman"/>
          <w:szCs w:val="24"/>
        </w:rPr>
      </w:pPr>
    </w:p>
    <w:p>
      <w:pPr>
        <w:ind w:firstLine="708"/>
        <w:jc w:val="both"/>
        <w:rPr>
          <w:noProof/>
        </w:rPr>
      </w:pPr>
    </w:p>
    <w:p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III.  ZAVRŠNE ODREDBE</w:t>
      </w:r>
    </w:p>
    <w:p>
      <w:pPr>
        <w:pStyle w:val="Obinitekst"/>
        <w:rPr>
          <w:rFonts w:ascii="Times New Roman" w:hAnsi="Times New Roman" w:cs="Times New Roman"/>
          <w:sz w:val="24"/>
          <w:szCs w:val="24"/>
        </w:rPr>
      </w:pPr>
    </w:p>
    <w:p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>
      <w:pPr>
        <w:pStyle w:val="Obinitekst"/>
        <w:rPr>
          <w:rFonts w:ascii="Times New Roman" w:hAnsi="Times New Roman" w:cs="Times New Roman"/>
          <w:sz w:val="24"/>
          <w:szCs w:val="24"/>
        </w:rPr>
      </w:pPr>
    </w:p>
    <w:p>
      <w:pPr>
        <w:pStyle w:val="Obini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Prijedlog Proračuna daje se Općinskom vijeću Općine Antunovac na razmatranje.</w:t>
      </w:r>
    </w:p>
    <w:p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400-02/22-01/01</w:t>
      </w:r>
    </w:p>
    <w:p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URBROJ: 2158-08-01-22-81</w:t>
      </w:r>
    </w:p>
    <w:p>
      <w:pPr>
        <w:pStyle w:val="Tijeloteksta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>U Antunovcu, 15. studenoga 2022. godine</w:t>
      </w:r>
    </w:p>
    <w:p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OPĆINSKI NAČELNIK</w:t>
      </w:r>
    </w:p>
    <w:p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</w:r>
      <w:r>
        <w:rPr>
          <w:rFonts w:ascii="Times New Roman" w:hAnsi="Times New Roman"/>
          <w:noProof w:val="0"/>
          <w:szCs w:val="24"/>
        </w:rPr>
        <w:tab/>
        <w:t>Davor Tubanjski, bacc. ing. agr.</w:t>
      </w:r>
    </w:p>
    <w:sectPr>
      <w:headerReference w:type="even" r:id="rId8"/>
      <w:footerReference w:type="default" r:id="rId9"/>
      <w:pgSz w:w="16838" w:h="11906" w:orient="landscape" w:code="9"/>
      <w:pgMar w:top="1134" w:right="1418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1299539">
    <w:abstractNumId w:val="32"/>
  </w:num>
  <w:num w:numId="2" w16cid:durableId="192498780">
    <w:abstractNumId w:val="16"/>
  </w:num>
  <w:num w:numId="3" w16cid:durableId="1850212905">
    <w:abstractNumId w:val="13"/>
  </w:num>
  <w:num w:numId="4" w16cid:durableId="1274901681">
    <w:abstractNumId w:val="23"/>
  </w:num>
  <w:num w:numId="5" w16cid:durableId="1453591341">
    <w:abstractNumId w:val="12"/>
  </w:num>
  <w:num w:numId="6" w16cid:durableId="1143429096">
    <w:abstractNumId w:val="15"/>
  </w:num>
  <w:num w:numId="7" w16cid:durableId="1894079548">
    <w:abstractNumId w:val="17"/>
  </w:num>
  <w:num w:numId="8" w16cid:durableId="1189369934">
    <w:abstractNumId w:val="19"/>
  </w:num>
  <w:num w:numId="9" w16cid:durableId="289635768">
    <w:abstractNumId w:val="38"/>
  </w:num>
  <w:num w:numId="10" w16cid:durableId="1484659229">
    <w:abstractNumId w:val="44"/>
  </w:num>
  <w:num w:numId="11" w16cid:durableId="2035689118">
    <w:abstractNumId w:val="0"/>
  </w:num>
  <w:num w:numId="12" w16cid:durableId="648749446">
    <w:abstractNumId w:val="31"/>
  </w:num>
  <w:num w:numId="13" w16cid:durableId="722296048">
    <w:abstractNumId w:val="20"/>
  </w:num>
  <w:num w:numId="14" w16cid:durableId="1235823194">
    <w:abstractNumId w:val="43"/>
  </w:num>
  <w:num w:numId="15" w16cid:durableId="1535268849">
    <w:abstractNumId w:val="24"/>
  </w:num>
  <w:num w:numId="16" w16cid:durableId="507720613">
    <w:abstractNumId w:val="35"/>
  </w:num>
  <w:num w:numId="17" w16cid:durableId="1503162531">
    <w:abstractNumId w:val="8"/>
  </w:num>
  <w:num w:numId="18" w16cid:durableId="822703043">
    <w:abstractNumId w:val="7"/>
  </w:num>
  <w:num w:numId="19" w16cid:durableId="1411391507">
    <w:abstractNumId w:val="9"/>
  </w:num>
  <w:num w:numId="20" w16cid:durableId="583339733">
    <w:abstractNumId w:val="14"/>
  </w:num>
  <w:num w:numId="21" w16cid:durableId="890186842">
    <w:abstractNumId w:val="36"/>
  </w:num>
  <w:num w:numId="22" w16cid:durableId="874853257">
    <w:abstractNumId w:val="4"/>
  </w:num>
  <w:num w:numId="23" w16cid:durableId="664239922">
    <w:abstractNumId w:val="27"/>
  </w:num>
  <w:num w:numId="24" w16cid:durableId="1795948826">
    <w:abstractNumId w:val="34"/>
  </w:num>
  <w:num w:numId="25" w16cid:durableId="1800538332">
    <w:abstractNumId w:val="6"/>
  </w:num>
  <w:num w:numId="26" w16cid:durableId="1839348069">
    <w:abstractNumId w:val="22"/>
  </w:num>
  <w:num w:numId="27" w16cid:durableId="266278831">
    <w:abstractNumId w:val="18"/>
  </w:num>
  <w:num w:numId="28" w16cid:durableId="1188373673">
    <w:abstractNumId w:val="1"/>
  </w:num>
  <w:num w:numId="29" w16cid:durableId="306476901">
    <w:abstractNumId w:val="21"/>
  </w:num>
  <w:num w:numId="30" w16cid:durableId="199517724">
    <w:abstractNumId w:val="33"/>
  </w:num>
  <w:num w:numId="31" w16cid:durableId="1187139084">
    <w:abstractNumId w:val="3"/>
  </w:num>
  <w:num w:numId="32" w16cid:durableId="634023992">
    <w:abstractNumId w:val="26"/>
  </w:num>
  <w:num w:numId="33" w16cid:durableId="455686341">
    <w:abstractNumId w:val="40"/>
  </w:num>
  <w:num w:numId="34" w16cid:durableId="1970623138">
    <w:abstractNumId w:val="5"/>
  </w:num>
  <w:num w:numId="35" w16cid:durableId="1752771644">
    <w:abstractNumId w:val="10"/>
  </w:num>
  <w:num w:numId="36" w16cid:durableId="117340366">
    <w:abstractNumId w:val="42"/>
  </w:num>
  <w:num w:numId="37" w16cid:durableId="194735037">
    <w:abstractNumId w:val="28"/>
  </w:num>
  <w:num w:numId="38" w16cid:durableId="434250064">
    <w:abstractNumId w:val="11"/>
  </w:num>
  <w:num w:numId="39" w16cid:durableId="457721510">
    <w:abstractNumId w:val="39"/>
  </w:num>
  <w:num w:numId="40" w16cid:durableId="1952012929">
    <w:abstractNumId w:val="41"/>
  </w:num>
  <w:num w:numId="41" w16cid:durableId="1955206089">
    <w:abstractNumId w:val="25"/>
  </w:num>
  <w:num w:numId="42" w16cid:durableId="1350449270">
    <w:abstractNumId w:val="2"/>
  </w:num>
  <w:num w:numId="43" w16cid:durableId="2007199639">
    <w:abstractNumId w:val="30"/>
  </w:num>
  <w:num w:numId="44" w16cid:durableId="1903564926">
    <w:abstractNumId w:val="37"/>
  </w:num>
  <w:num w:numId="45" w16cid:durableId="1265531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pPr>
      <w:ind w:left="180" w:firstLine="528"/>
      <w:jc w:val="both"/>
    </w:pPr>
  </w:style>
  <w:style w:type="paragraph" w:styleId="Tijeloteksta">
    <w:name w:val="Body Text"/>
    <w:basedOn w:val="Normal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customStyle="1" w:styleId="xl63">
    <w:name w:val="xl63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pPr>
      <w:spacing w:before="100" w:beforeAutospacing="1" w:after="100" w:afterAutospacing="1"/>
    </w:pPr>
  </w:style>
  <w:style w:type="paragraph" w:customStyle="1" w:styleId="xl84">
    <w:name w:val="xl84"/>
    <w:basedOn w:val="Normal"/>
    <w:pPr>
      <w:spacing w:before="100" w:beforeAutospacing="1" w:after="100" w:afterAutospacing="1"/>
    </w:pPr>
  </w:style>
  <w:style w:type="paragraph" w:customStyle="1" w:styleId="xl85">
    <w:name w:val="xl85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86">
    <w:name w:val="xl8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7E48-5BDB-4151-B40E-F04248D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21</Pages>
  <Words>10037</Words>
  <Characters>57213</Characters>
  <Application>Microsoft Office Word</Application>
  <DocSecurity>0</DocSecurity>
  <Lines>476</Lines>
  <Paragraphs>134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67116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Opcina Antunovac</cp:lastModifiedBy>
  <cp:revision>22</cp:revision>
  <cp:lastPrinted>2021-11-15T07:30:00Z</cp:lastPrinted>
  <dcterms:created xsi:type="dcterms:W3CDTF">2018-10-30T09:23:00Z</dcterms:created>
  <dcterms:modified xsi:type="dcterms:W3CDTF">2022-11-15T12:03:00Z</dcterms:modified>
</cp:coreProperties>
</file>